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F8F0" w14:textId="45496908" w:rsidR="000628ED" w:rsidRDefault="000628ED">
      <w:pPr>
        <w:tabs>
          <w:tab w:val="center" w:pos="4819"/>
          <w:tab w:val="right" w:pos="9071"/>
        </w:tabs>
        <w:overflowPunct w:val="0"/>
        <w:textAlignment w:val="baseline"/>
        <w:rPr>
          <w:rFonts w:ascii="HelveticaLT" w:hAnsi="HelveticaLT"/>
          <w:sz w:val="20"/>
          <w:lang w:val="en-GB"/>
        </w:rPr>
      </w:pPr>
      <w:bookmarkStart w:id="0" w:name="_GoBack"/>
      <w:bookmarkEnd w:id="0"/>
    </w:p>
    <w:p w14:paraId="13E1F8F1" w14:textId="77777777" w:rsidR="000628ED" w:rsidRDefault="003430A8">
      <w:pPr>
        <w:jc w:val="center"/>
        <w:rPr>
          <w:b/>
          <w:bCs/>
          <w:szCs w:val="24"/>
        </w:rPr>
      </w:pPr>
      <w:r>
        <w:rPr>
          <w:b/>
          <w:bCs/>
          <w:noProof/>
          <w:szCs w:val="24"/>
          <w:lang w:eastAsia="lt-LT"/>
        </w:rPr>
        <w:drawing>
          <wp:inline distT="0" distB="0" distL="0" distR="0" wp14:anchorId="13E1F93C" wp14:editId="13E1F93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3E1F8F2" w14:textId="77777777" w:rsidR="000628ED" w:rsidRDefault="000628ED">
      <w:pPr>
        <w:rPr>
          <w:sz w:val="2"/>
          <w:szCs w:val="2"/>
        </w:rPr>
      </w:pPr>
    </w:p>
    <w:p w14:paraId="13E1F8F3" w14:textId="77777777" w:rsidR="000628ED" w:rsidRDefault="000628ED">
      <w:pPr>
        <w:ind w:firstLine="29"/>
        <w:jc w:val="center"/>
        <w:rPr>
          <w:b/>
          <w:bCs/>
          <w:szCs w:val="24"/>
        </w:rPr>
      </w:pPr>
    </w:p>
    <w:p w14:paraId="13E1F8F4" w14:textId="77777777" w:rsidR="000628ED" w:rsidRDefault="000628ED">
      <w:pPr>
        <w:rPr>
          <w:sz w:val="2"/>
          <w:szCs w:val="2"/>
        </w:rPr>
      </w:pPr>
    </w:p>
    <w:p w14:paraId="13E1F8F5" w14:textId="77777777" w:rsidR="000628ED" w:rsidRDefault="003430A8">
      <w:pPr>
        <w:jc w:val="center"/>
        <w:rPr>
          <w:sz w:val="28"/>
          <w:szCs w:val="24"/>
        </w:rPr>
      </w:pPr>
      <w:r>
        <w:rPr>
          <w:b/>
          <w:bCs/>
          <w:sz w:val="28"/>
          <w:szCs w:val="24"/>
        </w:rPr>
        <w:t>LIETUVOS RESPUBLIKOS ŠVIETIMO, MOKSLO IR SPORTO MINISTRAS</w:t>
      </w:r>
    </w:p>
    <w:p w14:paraId="13E1F8F6" w14:textId="77777777" w:rsidR="000628ED" w:rsidRDefault="000628ED">
      <w:pPr>
        <w:rPr>
          <w:sz w:val="2"/>
          <w:szCs w:val="2"/>
        </w:rPr>
      </w:pPr>
    </w:p>
    <w:p w14:paraId="13E1F8F7" w14:textId="77777777" w:rsidR="000628ED" w:rsidRDefault="000628ED">
      <w:pPr>
        <w:overflowPunct w:val="0"/>
        <w:jc w:val="center"/>
        <w:textAlignment w:val="baseline"/>
      </w:pPr>
    </w:p>
    <w:p w14:paraId="13E1F8F8" w14:textId="77777777" w:rsidR="000628ED" w:rsidRDefault="000628ED">
      <w:pPr>
        <w:rPr>
          <w:sz w:val="2"/>
          <w:szCs w:val="2"/>
        </w:rPr>
      </w:pPr>
    </w:p>
    <w:p w14:paraId="13E1F8F9" w14:textId="77777777" w:rsidR="000628ED" w:rsidRDefault="003430A8">
      <w:pPr>
        <w:overflowPunct w:val="0"/>
        <w:jc w:val="center"/>
        <w:textAlignment w:val="baseline"/>
        <w:rPr>
          <w:b/>
          <w:bCs/>
        </w:rPr>
      </w:pPr>
      <w:r>
        <w:rPr>
          <w:b/>
          <w:bCs/>
        </w:rPr>
        <w:t>ĮSAKYMAS</w:t>
      </w:r>
    </w:p>
    <w:p w14:paraId="13E1F8FA" w14:textId="77777777" w:rsidR="000628ED" w:rsidRDefault="000628ED">
      <w:pPr>
        <w:rPr>
          <w:sz w:val="2"/>
          <w:szCs w:val="2"/>
        </w:rPr>
      </w:pPr>
    </w:p>
    <w:p w14:paraId="346395DE" w14:textId="2C4F357E" w:rsidR="000628ED" w:rsidRDefault="003430A8">
      <w:pPr>
        <w:overflowPunct w:val="0"/>
        <w:jc w:val="center"/>
        <w:textAlignment w:val="baseline"/>
        <w:rPr>
          <w:b/>
          <w:bCs/>
          <w:caps/>
        </w:rPr>
      </w:pPr>
      <w:r>
        <w:rPr>
          <w:b/>
          <w:bCs/>
        </w:rPr>
        <w:t xml:space="preserve">DĖL </w:t>
      </w:r>
      <w:r>
        <w:rPr>
          <w:b/>
          <w:bCs/>
          <w:caps/>
        </w:rPr>
        <w:t xml:space="preserve">Švietimo ir mokslo ministro 2011 m. balandžio 11 d. įsakymo </w:t>
      </w:r>
      <w:r>
        <w:rPr>
          <w:b/>
          <w:bCs/>
          <w:caps/>
        </w:rPr>
        <w:br/>
        <w:t>Nr. V-579 „Dėl MOKYKLOS vaiko gerovės KOMISIJOS SUDARYMO IR JOS DARBO ORGANIZAVIMO TVARKOS APRAŠo patvirtinimo“ PAKEITIMO</w:t>
      </w:r>
    </w:p>
    <w:p w14:paraId="13E1F8FD" w14:textId="77777777" w:rsidR="000628ED" w:rsidRDefault="000628ED">
      <w:pPr>
        <w:overflowPunct w:val="0"/>
        <w:jc w:val="center"/>
        <w:textAlignment w:val="baseline"/>
      </w:pPr>
    </w:p>
    <w:p w14:paraId="13E1F8FE" w14:textId="77777777" w:rsidR="000628ED" w:rsidRDefault="000628ED">
      <w:pPr>
        <w:rPr>
          <w:sz w:val="2"/>
          <w:szCs w:val="2"/>
        </w:rPr>
      </w:pPr>
    </w:p>
    <w:p w14:paraId="7360C129" w14:textId="26B5ED6E" w:rsidR="000628ED" w:rsidRDefault="003430A8">
      <w:pPr>
        <w:keepNext/>
        <w:tabs>
          <w:tab w:val="left" w:pos="4927"/>
        </w:tabs>
        <w:overflowPunct w:val="0"/>
        <w:jc w:val="center"/>
        <w:textAlignment w:val="baseline"/>
        <w:outlineLvl w:val="2"/>
      </w:pPr>
      <w:r>
        <w:t>2020 m. rugpjūčio 3 d. Nr. V-1129</w:t>
      </w:r>
    </w:p>
    <w:p w14:paraId="61DF4791" w14:textId="77777777" w:rsidR="000628ED" w:rsidRDefault="003430A8">
      <w:pPr>
        <w:overflowPunct w:val="0"/>
        <w:jc w:val="center"/>
        <w:textAlignment w:val="baseline"/>
        <w:rPr>
          <w:szCs w:val="24"/>
        </w:rPr>
      </w:pPr>
      <w:smartTag w:uri="urn:schemas-tilde-lv/tildestengine" w:element="firmas">
        <w:r>
          <w:rPr>
            <w:szCs w:val="24"/>
          </w:rPr>
          <w:t>Vilnius</w:t>
        </w:r>
      </w:smartTag>
    </w:p>
    <w:p w14:paraId="56E2A469" w14:textId="77777777" w:rsidR="000628ED" w:rsidRDefault="000628ED">
      <w:pPr>
        <w:overflowPunct w:val="0"/>
        <w:jc w:val="center"/>
        <w:textAlignment w:val="baseline"/>
        <w:rPr>
          <w:szCs w:val="24"/>
        </w:rPr>
      </w:pPr>
    </w:p>
    <w:p w14:paraId="4FCA3E70" w14:textId="77777777" w:rsidR="000628ED" w:rsidRDefault="000628ED">
      <w:pPr>
        <w:overflowPunct w:val="0"/>
        <w:jc w:val="center"/>
        <w:textAlignment w:val="baseline"/>
        <w:rPr>
          <w:szCs w:val="24"/>
        </w:rPr>
      </w:pPr>
    </w:p>
    <w:p w14:paraId="13E1F90B" w14:textId="77777777" w:rsidR="000628ED" w:rsidRDefault="003430A8">
      <w:pPr>
        <w:overflowPunct w:val="0"/>
        <w:ind w:firstLine="720"/>
        <w:jc w:val="both"/>
        <w:textAlignment w:val="baseline"/>
      </w:pPr>
      <w:r>
        <w:t>P a k e i č i u Lietuvos Respublikos švietimo ir mokslo ministro 2011 m. balandžio 11 d. įsakymą Nr. V-579 „Dėl Mokyklos vaiko gerovės komisijos sudarymo ir jos darbo organizavimo tvarkos aprašo patvirtinimo“:</w:t>
      </w:r>
    </w:p>
    <w:p w14:paraId="13E1F90C" w14:textId="77777777" w:rsidR="000628ED" w:rsidRDefault="003430A8">
      <w:pPr>
        <w:overflowPunct w:val="0"/>
        <w:ind w:firstLine="720"/>
        <w:jc w:val="both"/>
        <w:textAlignment w:val="baseline"/>
      </w:pPr>
      <w:r>
        <w:t>1. pakeičiu nurodytą įsakymą ir jį išdėstau nauja redakcija (Mokyklos vaiko gerovės komisijos sudarymo ir jos darbo organizavimo tvarkos aprašas nauja redakcija nedėstomas):</w:t>
      </w:r>
    </w:p>
    <w:p w14:paraId="13E1F90D" w14:textId="77777777" w:rsidR="000628ED" w:rsidRDefault="000628ED">
      <w:pPr>
        <w:overflowPunct w:val="0"/>
        <w:ind w:firstLine="720"/>
        <w:jc w:val="both"/>
        <w:textAlignment w:val="baseline"/>
      </w:pPr>
    </w:p>
    <w:p w14:paraId="13E1F90E" w14:textId="77777777" w:rsidR="000628ED" w:rsidRDefault="003430A8">
      <w:pPr>
        <w:overflowPunct w:val="0"/>
        <w:jc w:val="center"/>
        <w:textAlignment w:val="baseline"/>
        <w:rPr>
          <w:b/>
          <w:szCs w:val="24"/>
          <w:lang w:val="en-GB"/>
        </w:rPr>
      </w:pPr>
      <w:r>
        <w:rPr>
          <w:b/>
          <w:szCs w:val="24"/>
          <w:lang w:val="en-GB"/>
        </w:rPr>
        <w:t>„LIETUVOS RESPUBLIKOS ŠVIETIMO, MOKSLO IR SPORTO MINISTRAS</w:t>
      </w:r>
    </w:p>
    <w:p w14:paraId="13E1F90F" w14:textId="77777777" w:rsidR="000628ED" w:rsidRDefault="003430A8">
      <w:pPr>
        <w:overflowPunct w:val="0"/>
        <w:jc w:val="center"/>
        <w:textAlignment w:val="baseline"/>
        <w:rPr>
          <w:b/>
          <w:bCs/>
          <w:szCs w:val="24"/>
        </w:rPr>
      </w:pPr>
      <w:r>
        <w:rPr>
          <w:b/>
          <w:bCs/>
          <w:szCs w:val="24"/>
        </w:rPr>
        <w:t>ĮSAKYMAS</w:t>
      </w:r>
    </w:p>
    <w:p w14:paraId="13E1F910" w14:textId="77777777" w:rsidR="000628ED" w:rsidRDefault="000628ED">
      <w:pPr>
        <w:rPr>
          <w:sz w:val="2"/>
          <w:szCs w:val="2"/>
        </w:rPr>
      </w:pPr>
    </w:p>
    <w:p w14:paraId="13E1F911" w14:textId="77777777" w:rsidR="000628ED" w:rsidRDefault="000628ED">
      <w:pPr>
        <w:overflowPunct w:val="0"/>
        <w:jc w:val="center"/>
        <w:textAlignment w:val="baseline"/>
        <w:rPr>
          <w:szCs w:val="24"/>
          <w:lang w:val="en-GB"/>
        </w:rPr>
      </w:pPr>
    </w:p>
    <w:p w14:paraId="13E1F912" w14:textId="65F4FB29" w:rsidR="000628ED" w:rsidRDefault="003430A8">
      <w:pPr>
        <w:tabs>
          <w:tab w:val="left" w:pos="567"/>
          <w:tab w:val="left" w:pos="851"/>
        </w:tabs>
        <w:overflowPunct w:val="0"/>
        <w:jc w:val="center"/>
        <w:textAlignment w:val="baseline"/>
        <w:rPr>
          <w:b/>
          <w:bCs/>
          <w:caps/>
          <w:szCs w:val="24"/>
        </w:rPr>
      </w:pPr>
      <w:r>
        <w:rPr>
          <w:b/>
          <w:bCs/>
          <w:caps/>
          <w:szCs w:val="24"/>
        </w:rPr>
        <w:t>DĖL mokyklos vaiko gerovės komisijos sudarymo ir jos darbo organizavimo TVARKOS APRAŠO PATVIRTINIMO</w:t>
      </w:r>
    </w:p>
    <w:p w14:paraId="13E1F913" w14:textId="77777777" w:rsidR="000628ED" w:rsidRDefault="000628ED">
      <w:pPr>
        <w:tabs>
          <w:tab w:val="left" w:pos="567"/>
          <w:tab w:val="left" w:pos="851"/>
        </w:tabs>
        <w:overflowPunct w:val="0"/>
        <w:jc w:val="center"/>
        <w:textAlignment w:val="baseline"/>
        <w:rPr>
          <w:szCs w:val="24"/>
          <w:lang w:val="en-GB"/>
        </w:rPr>
      </w:pPr>
    </w:p>
    <w:p w14:paraId="13E1F915" w14:textId="77777777" w:rsidR="000628ED" w:rsidRDefault="003430A8">
      <w:pPr>
        <w:shd w:val="clear" w:color="auto" w:fill="FFFFFF"/>
        <w:ind w:firstLine="720"/>
        <w:jc w:val="both"/>
        <w:rPr>
          <w:color w:val="000000"/>
          <w:szCs w:val="24"/>
        </w:rPr>
      </w:pPr>
      <w:r>
        <w:rPr>
          <w:color w:val="000000"/>
          <w:szCs w:val="24"/>
        </w:rPr>
        <w:t xml:space="preserve">Vadovaudamasi Lietuvos Respublikos </w:t>
      </w:r>
      <w:r>
        <w:rPr>
          <w:iCs/>
          <w:color w:val="000000"/>
          <w:szCs w:val="24"/>
        </w:rPr>
        <w:t>švietimo įstatymo</w:t>
      </w:r>
      <w:r>
        <w:rPr>
          <w:color w:val="000000"/>
          <w:szCs w:val="24"/>
        </w:rPr>
        <w:t xml:space="preserve"> </w:t>
      </w:r>
      <w:r>
        <w:rPr>
          <w:iCs/>
          <w:color w:val="000000"/>
          <w:szCs w:val="24"/>
        </w:rPr>
        <w:t>43</w:t>
      </w:r>
      <w:r>
        <w:rPr>
          <w:color w:val="000000"/>
          <w:szCs w:val="24"/>
        </w:rPr>
        <w:t xml:space="preserve"> straipsnio 12 dalimi ir Lietuvos Respublikos vaiko minimalios ir vidutinės priežiūros įstatymo 30 straipsnio 6 dalimi, </w:t>
      </w:r>
    </w:p>
    <w:p w14:paraId="13E1F917" w14:textId="1CCA36EA" w:rsidR="000628ED" w:rsidRDefault="003430A8">
      <w:pPr>
        <w:shd w:val="clear" w:color="auto" w:fill="FFFFFF"/>
        <w:ind w:firstLine="782"/>
        <w:jc w:val="both"/>
        <w:rPr>
          <w:szCs w:val="24"/>
        </w:rPr>
      </w:pPr>
      <w:r>
        <w:rPr>
          <w:color w:val="000000"/>
          <w:szCs w:val="24"/>
        </w:rPr>
        <w:t>t v i r t i n u Mokyklos vaiko gerovės komisijos sudarymo ir jos darbo organizavimo tvarkos aprašą (pridedama).“</w:t>
      </w:r>
    </w:p>
    <w:p w14:paraId="13E1F918" w14:textId="322306A8" w:rsidR="000628ED" w:rsidRDefault="003430A8">
      <w:pPr>
        <w:overflowPunct w:val="0"/>
        <w:ind w:firstLine="720"/>
        <w:jc w:val="both"/>
        <w:textAlignment w:val="baseline"/>
        <w:rPr>
          <w:szCs w:val="24"/>
        </w:rPr>
      </w:pPr>
      <w:r>
        <w:rPr>
          <w:szCs w:val="24"/>
        </w:rPr>
        <w:t>2. pakeičiu nurodytu įsakymu patvirtintą Mokyklos vaiko gerovės komisijos sudarymo ir jos darbo organizavimo tvarkos aprašą:</w:t>
      </w:r>
    </w:p>
    <w:p w14:paraId="13E1F91A" w14:textId="10A13393" w:rsidR="000628ED" w:rsidRDefault="003430A8">
      <w:pPr>
        <w:overflowPunct w:val="0"/>
        <w:ind w:firstLine="720"/>
        <w:jc w:val="both"/>
        <w:textAlignment w:val="baseline"/>
        <w:rPr>
          <w:szCs w:val="24"/>
        </w:rPr>
      </w:pPr>
      <w:r>
        <w:rPr>
          <w:szCs w:val="24"/>
        </w:rPr>
        <w:t>2.1. pakeičiu tvirtinimo žymą ir ją išdėstau taip:</w:t>
      </w:r>
    </w:p>
    <w:p w14:paraId="13E1F91B" w14:textId="77777777" w:rsidR="000628ED" w:rsidRDefault="003430A8">
      <w:pPr>
        <w:shd w:val="clear" w:color="auto" w:fill="FFFFFF"/>
        <w:ind w:left="2494" w:firstLine="1247"/>
        <w:rPr>
          <w:color w:val="000000"/>
          <w:szCs w:val="24"/>
        </w:rPr>
      </w:pPr>
      <w:r>
        <w:rPr>
          <w:color w:val="000000"/>
          <w:szCs w:val="24"/>
        </w:rPr>
        <w:t>„PATVIRTINTA</w:t>
      </w:r>
    </w:p>
    <w:p w14:paraId="13E1F91C" w14:textId="77777777" w:rsidR="000628ED" w:rsidRDefault="003430A8">
      <w:pPr>
        <w:shd w:val="clear" w:color="auto" w:fill="FFFFFF"/>
        <w:ind w:left="3741"/>
        <w:rPr>
          <w:color w:val="000000"/>
          <w:szCs w:val="24"/>
        </w:rPr>
      </w:pPr>
      <w:r>
        <w:rPr>
          <w:color w:val="000000"/>
          <w:szCs w:val="24"/>
        </w:rPr>
        <w:t>Lietuvos Respublikos švietimo, mokslo ir sporto ministro</w:t>
      </w:r>
    </w:p>
    <w:p w14:paraId="13E1F91D" w14:textId="77777777" w:rsidR="000628ED" w:rsidRDefault="003430A8">
      <w:pPr>
        <w:shd w:val="clear" w:color="auto" w:fill="FFFFFF"/>
        <w:ind w:left="2494" w:firstLine="1247"/>
        <w:rPr>
          <w:color w:val="000000"/>
          <w:szCs w:val="24"/>
        </w:rPr>
      </w:pPr>
      <w:r>
        <w:rPr>
          <w:color w:val="000000"/>
          <w:szCs w:val="24"/>
        </w:rPr>
        <w:t>2011 m. balandžio 11 d. įsakymu Nr. V-579“;</w:t>
      </w:r>
    </w:p>
    <w:p w14:paraId="13E1F91E" w14:textId="77777777" w:rsidR="000628ED" w:rsidRDefault="000628ED">
      <w:pPr>
        <w:shd w:val="clear" w:color="auto" w:fill="FFFFFF"/>
        <w:ind w:left="2494" w:firstLine="1247"/>
        <w:rPr>
          <w:color w:val="000000"/>
          <w:szCs w:val="24"/>
        </w:rPr>
      </w:pPr>
    </w:p>
    <w:p w14:paraId="13E1F91F" w14:textId="77777777" w:rsidR="000628ED" w:rsidRDefault="003430A8">
      <w:pPr>
        <w:overflowPunct w:val="0"/>
        <w:ind w:firstLine="720"/>
        <w:jc w:val="both"/>
        <w:textAlignment w:val="baseline"/>
      </w:pPr>
      <w:r>
        <w:t>2.2. pakeičiu 4 punktą ir jį išdėstau taip:</w:t>
      </w:r>
    </w:p>
    <w:p w14:paraId="13E1F920" w14:textId="77777777" w:rsidR="000628ED" w:rsidRDefault="003430A8">
      <w:pPr>
        <w:overflowPunct w:val="0"/>
        <w:ind w:firstLine="720"/>
        <w:jc w:val="both"/>
        <w:textAlignment w:val="baseline"/>
        <w:rPr>
          <w:color w:val="000000"/>
          <w:szCs w:val="24"/>
        </w:rPr>
      </w:pPr>
      <w:r>
        <w:rPr>
          <w:color w:val="000000"/>
          <w:szCs w:val="24"/>
          <w:shd w:val="clear" w:color="auto" w:fill="FFFFFF"/>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r>
        <w:rPr>
          <w:color w:val="000000"/>
          <w:szCs w:val="24"/>
        </w:rPr>
        <w:t xml:space="preserve"> “</w:t>
      </w:r>
    </w:p>
    <w:p w14:paraId="13E1F921" w14:textId="77777777" w:rsidR="000628ED" w:rsidRDefault="003430A8">
      <w:pPr>
        <w:overflowPunct w:val="0"/>
        <w:ind w:firstLine="720"/>
        <w:jc w:val="both"/>
        <w:textAlignment w:val="baseline"/>
        <w:rPr>
          <w:szCs w:val="24"/>
        </w:rPr>
      </w:pPr>
      <w:r>
        <w:rPr>
          <w:szCs w:val="24"/>
        </w:rPr>
        <w:t>2.3. pakeičiu 11.4 papunktį ir jį išdėstau taip:</w:t>
      </w:r>
    </w:p>
    <w:p w14:paraId="13E1F922" w14:textId="77777777" w:rsidR="000628ED" w:rsidRDefault="003430A8">
      <w:pPr>
        <w:overflowPunct w:val="0"/>
        <w:ind w:firstLine="720"/>
        <w:jc w:val="both"/>
        <w:textAlignment w:val="baseline"/>
        <w:rPr>
          <w:color w:val="000000"/>
          <w:szCs w:val="24"/>
          <w:shd w:val="clear" w:color="auto" w:fill="FFFFFF"/>
        </w:rPr>
      </w:pPr>
      <w:r>
        <w:rPr>
          <w:color w:val="000000"/>
          <w:szCs w:val="24"/>
          <w:shd w:val="clear" w:color="auto" w:fill="FFFFFF"/>
        </w:rPr>
        <w:t>„11.4. gavus tėvų (globėjų, rūpintojų) sutikimą, atlieka pirminį vaikų specialiųjų ugdymosi poreikių, kylančių ugdymo(</w:t>
      </w:r>
      <w:proofErr w:type="spellStart"/>
      <w:r>
        <w:rPr>
          <w:color w:val="000000"/>
          <w:szCs w:val="24"/>
          <w:shd w:val="clear" w:color="auto" w:fill="FFFFFF"/>
        </w:rPr>
        <w:t>si</w:t>
      </w:r>
      <w:proofErr w:type="spellEnd"/>
      <w:r>
        <w:rPr>
          <w:color w:val="000000"/>
          <w:szCs w:val="24"/>
          <w:shd w:val="clear" w:color="auto" w:fill="FFFFFF"/>
        </w:rPr>
        <w:t xml:space="preserve">) procese, įvertinimą, prireikus, kreipiasi į pedagoginę psichologinę ar švietimo pagalbos tarnybą dėl vaikų specialiųjų ugdymosi poreikių įvertinimo, specialiojo ugdymo </w:t>
      </w:r>
      <w:r>
        <w:rPr>
          <w:color w:val="000000"/>
          <w:szCs w:val="24"/>
          <w:shd w:val="clear" w:color="auto" w:fill="FFFFFF"/>
        </w:rPr>
        <w:lastRenderedPageBreak/>
        <w:t>ir (ar) švietimo pagalbos jiems skyrimo švietimo, mokslo ir sporto ministro nustatyta tvarka. Ši Komisijos funkcija nevykdoma nuotoliniu būdu;“</w:t>
      </w:r>
    </w:p>
    <w:p w14:paraId="13E1F923" w14:textId="77777777" w:rsidR="000628ED" w:rsidRDefault="003430A8">
      <w:pPr>
        <w:overflowPunct w:val="0"/>
        <w:ind w:firstLine="720"/>
        <w:jc w:val="both"/>
        <w:textAlignment w:val="baseline"/>
      </w:pPr>
      <w:r>
        <w:rPr>
          <w:color w:val="000000"/>
          <w:szCs w:val="24"/>
          <w:shd w:val="clear" w:color="auto" w:fill="FFFFFF"/>
        </w:rPr>
        <w:t xml:space="preserve">2.4. papildau </w:t>
      </w:r>
      <w:r>
        <w:t>11</w:t>
      </w:r>
      <w:r>
        <w:rPr>
          <w:vertAlign w:val="superscript"/>
        </w:rPr>
        <w:t xml:space="preserve">1 </w:t>
      </w:r>
      <w:r>
        <w:t>punktu:</w:t>
      </w:r>
    </w:p>
    <w:p w14:paraId="13E1F924" w14:textId="77777777" w:rsidR="000628ED" w:rsidRDefault="003430A8">
      <w:pPr>
        <w:overflowPunct w:val="0"/>
        <w:ind w:firstLine="720"/>
        <w:jc w:val="both"/>
        <w:textAlignment w:val="baseline"/>
      </w:pPr>
      <w:r>
        <w:t>„11</w:t>
      </w:r>
      <w:r>
        <w:rPr>
          <w:vertAlign w:val="superscript"/>
        </w:rPr>
        <w:t>1</w:t>
      </w:r>
      <w:r>
        <w:t>. karantino, ekstremalios situacijos, ekstremalaus įvykio ar įvykio (ekstremali temperatūra, gaisras, potvynis, pūga ir kt.), keliančio pavojų mokinių sveikatai ir gyvybei, (toliau – ypatingos aplinkybės) laikotarpiu Komija funkcijas (išskyrus Aprašo 11.4 papunktyje nurodytą funkciją) gali vykdyti nuotoliniu būdu. Pasibaigus ypatingų aplinkybių laikotarpiui, prioritetas teikiamas Aprašo 11.4. papunktyje nurodytos funkcijos vykdymui.“</w:t>
      </w:r>
    </w:p>
    <w:p w14:paraId="13E1F925" w14:textId="77777777" w:rsidR="000628ED" w:rsidRDefault="003430A8">
      <w:pPr>
        <w:overflowPunct w:val="0"/>
        <w:ind w:firstLine="720"/>
        <w:jc w:val="both"/>
        <w:textAlignment w:val="baseline"/>
      </w:pPr>
      <w:r>
        <w:t>2.5. pakeičiu 14 punktą ir jį išdėstau taip:</w:t>
      </w:r>
    </w:p>
    <w:p w14:paraId="13E1F926" w14:textId="77777777" w:rsidR="000628ED" w:rsidRDefault="003430A8">
      <w:pPr>
        <w:overflowPunct w:val="0"/>
        <w:ind w:firstLine="720"/>
        <w:jc w:val="both"/>
        <w:textAlignment w:val="baseline"/>
      </w:pPr>
      <w:r>
        <w:t>„14. Komisijos veiklos forma yra posėdžiai, pasitarimai, kurie gali vykti tiesioginiu ir (arba) nuotoliniu būdu, ir kitos veiklos formos, reikalingos Komisijos funkcijoms atlikti.“</w:t>
      </w:r>
    </w:p>
    <w:p w14:paraId="13E1F927" w14:textId="77777777" w:rsidR="000628ED" w:rsidRDefault="003430A8">
      <w:pPr>
        <w:overflowPunct w:val="0"/>
        <w:ind w:firstLine="720"/>
        <w:jc w:val="both"/>
        <w:textAlignment w:val="baseline"/>
      </w:pPr>
      <w:r>
        <w:t>2.6. pakeičiu 17 punktą ir jį išdėstau taip:</w:t>
      </w:r>
    </w:p>
    <w:p w14:paraId="13E1F928" w14:textId="77777777" w:rsidR="000628ED" w:rsidRDefault="003430A8">
      <w:pPr>
        <w:overflowPunct w:val="0"/>
        <w:ind w:firstLine="720"/>
        <w:jc w:val="both"/>
        <w:textAlignment w:val="baseline"/>
      </w:pPr>
      <w:r>
        <w:t xml:space="preserve">„17. Komisijos posėdžiai gali būti neprotokoluojami. Jei protokolas nerašomas, sprendimą pasirašo visi posėdyje dalyvavę Komisijos nariai. Komisija turi susitarti, kaip fiksuojami Komisijos sprendimai, jei posėdis vyksta nuotoliniu būdu.“ </w:t>
      </w:r>
    </w:p>
    <w:p w14:paraId="13E1F929" w14:textId="6D126380" w:rsidR="000628ED" w:rsidRDefault="003430A8">
      <w:pPr>
        <w:overflowPunct w:val="0"/>
        <w:ind w:firstLine="720"/>
        <w:jc w:val="both"/>
        <w:textAlignment w:val="baseline"/>
      </w:pPr>
      <w:r>
        <w:t>2.7. pakeičiu 24.2  papunktį ir jį išdėstau taip:</w:t>
      </w:r>
    </w:p>
    <w:p w14:paraId="13E1F92A" w14:textId="4A233691" w:rsidR="000628ED" w:rsidRDefault="003430A8">
      <w:pPr>
        <w:overflowPunct w:val="0"/>
        <w:ind w:firstLine="720"/>
        <w:jc w:val="both"/>
        <w:textAlignment w:val="baseline"/>
        <w:rPr>
          <w:szCs w:val="24"/>
        </w:rPr>
      </w:pPr>
      <w:r>
        <w:rPr>
          <w:color w:val="000000"/>
          <w:szCs w:val="24"/>
          <w:shd w:val="clear" w:color="auto" w:fill="FFFFFF"/>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mokslo ir</w:t>
      </w:r>
      <w:r>
        <w:rPr>
          <w:b/>
          <w:color w:val="000000"/>
          <w:szCs w:val="24"/>
          <w:shd w:val="clear" w:color="auto" w:fill="FFFFFF"/>
        </w:rPr>
        <w:t xml:space="preserve"> </w:t>
      </w:r>
      <w:r>
        <w:rPr>
          <w:color w:val="000000"/>
          <w:szCs w:val="24"/>
          <w:shd w:val="clear" w:color="auto" w:fill="FFFFFF"/>
        </w:rPr>
        <w:t>sporto ministro patvirtintų Smurto prevencijos įgyvendinimo mokyklose rekomendacijų vykdymo, prireikus, dėl naujų prevencijos programų pasirinkimo ar jų keitimo kitomis;“</w:t>
      </w:r>
    </w:p>
    <w:p w14:paraId="13E1F931" w14:textId="0CFDAAA0" w:rsidR="000628ED" w:rsidRDefault="000628ED">
      <w:pPr>
        <w:rPr>
          <w:sz w:val="2"/>
          <w:szCs w:val="2"/>
        </w:rPr>
      </w:pPr>
    </w:p>
    <w:p w14:paraId="75C3F797" w14:textId="77777777" w:rsidR="003430A8" w:rsidRDefault="003430A8">
      <w:pPr>
        <w:tabs>
          <w:tab w:val="left" w:pos="5778"/>
        </w:tabs>
        <w:overflowPunct w:val="0"/>
        <w:textAlignment w:val="baseline"/>
      </w:pPr>
    </w:p>
    <w:p w14:paraId="2BEB168C" w14:textId="77777777" w:rsidR="003430A8" w:rsidRDefault="003430A8">
      <w:pPr>
        <w:tabs>
          <w:tab w:val="left" w:pos="5778"/>
        </w:tabs>
        <w:overflowPunct w:val="0"/>
        <w:textAlignment w:val="baseline"/>
      </w:pPr>
    </w:p>
    <w:p w14:paraId="74CCB506" w14:textId="77777777" w:rsidR="003430A8" w:rsidRDefault="003430A8">
      <w:pPr>
        <w:tabs>
          <w:tab w:val="left" w:pos="5778"/>
        </w:tabs>
        <w:overflowPunct w:val="0"/>
        <w:textAlignment w:val="baseline"/>
      </w:pPr>
    </w:p>
    <w:p w14:paraId="13E1F93B" w14:textId="79FE4D5E" w:rsidR="000628ED" w:rsidRDefault="003430A8">
      <w:pPr>
        <w:tabs>
          <w:tab w:val="left" w:pos="5778"/>
        </w:tabs>
        <w:overflowPunct w:val="0"/>
        <w:textAlignment w:val="baseline"/>
        <w:rPr>
          <w:rFonts w:ascii="HelveticaLT" w:hAnsi="HelveticaLT"/>
        </w:rPr>
      </w:pPr>
      <w:r>
        <w:t>Švietimo, mokslo ir sporto ministras</w:t>
      </w:r>
      <w:r>
        <w:tab/>
        <w:t>Algirdas Monkevičius</w:t>
      </w:r>
    </w:p>
    <w:sectPr w:rsidR="000628E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E449" w14:textId="77777777" w:rsidR="006321EF" w:rsidRDefault="006321E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55D18DD" w14:textId="77777777" w:rsidR="006321EF" w:rsidRDefault="006321E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945" w14:textId="77777777" w:rsidR="000628ED" w:rsidRDefault="003430A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3E1F946" w14:textId="77777777" w:rsidR="000628ED" w:rsidRDefault="000628E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947" w14:textId="77777777" w:rsidR="000628ED" w:rsidRDefault="000628E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949" w14:textId="77777777" w:rsidR="000628ED" w:rsidRDefault="000628E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1552" w14:textId="77777777" w:rsidR="006321EF" w:rsidRDefault="006321E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E601995" w14:textId="77777777" w:rsidR="006321EF" w:rsidRDefault="006321E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942" w14:textId="77777777" w:rsidR="000628ED" w:rsidRDefault="000628E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943" w14:textId="77777777" w:rsidR="000628ED" w:rsidRDefault="003430A8">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B70801" w:rsidRPr="00B70801">
      <w:rPr>
        <w:rFonts w:ascii="HelveticaLT" w:hAnsi="HelveticaLT"/>
        <w:noProof/>
        <w:sz w:val="20"/>
      </w:rPr>
      <w:t>2</w:t>
    </w:r>
    <w:r>
      <w:rPr>
        <w:rFonts w:ascii="HelveticaLT" w:hAnsi="HelveticaLT"/>
        <w:sz w:val="20"/>
        <w:lang w:val="en-GB"/>
      </w:rPr>
      <w:fldChar w:fldCharType="end"/>
    </w:r>
  </w:p>
  <w:p w14:paraId="13E1F944" w14:textId="77777777" w:rsidR="000628ED" w:rsidRDefault="000628ED">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948" w14:textId="77777777" w:rsidR="000628ED" w:rsidRDefault="000628E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B6"/>
    <w:rsid w:val="000628ED"/>
    <w:rsid w:val="003430A8"/>
    <w:rsid w:val="006321EF"/>
    <w:rsid w:val="00716DB6"/>
    <w:rsid w:val="00B70801"/>
    <w:rsid w:val="00EE3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13E1F8F0"/>
  <w15:docId w15:val="{3C9B8A8B-CFB8-41E7-9F52-0BB2A104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0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7E8E3-FECC-4BEF-8496-06E25072E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528C47-DEB9-452F-B3C0-7990D353CB70}">
  <ds:schemaRefs>
    <ds:schemaRef ds:uri="http://schemas.microsoft.com/sharepoint/v3/contenttype/forms"/>
  </ds:schemaRefs>
</ds:datastoreItem>
</file>

<file path=customXml/itemProps3.xml><?xml version="1.0" encoding="utf-8"?>
<ds:datastoreItem xmlns:ds="http://schemas.openxmlformats.org/officeDocument/2006/customXml" ds:itemID="{9A130FA8-23CF-4E2A-AD32-A1C9F38AC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2532</Words>
  <Characters>1444</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2a947663-c7c1-414f-84e0-b18baf4fe3f9</vt:lpstr>
      <vt:lpstr> </vt:lpstr>
    </vt:vector>
  </TitlesOfParts>
  <Company>VKS</Company>
  <LinksUpToDate>false</LinksUpToDate>
  <CharactersWithSpaces>3969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2a947663-c7c1-414f-84e0-b18baf4fe3f9</dc:title>
  <dc:creator>Dilytė Asta</dc:creator>
  <cp:lastModifiedBy>User</cp:lastModifiedBy>
  <cp:revision>2</cp:revision>
  <cp:lastPrinted>2010-02-18T07:54:00Z</cp:lastPrinted>
  <dcterms:created xsi:type="dcterms:W3CDTF">2021-04-06T05:40:00Z</dcterms:created>
  <dcterms:modified xsi:type="dcterms:W3CDTF">2021-04-06T05:40:00Z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